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C5" w:rsidRPr="00CC0F8A" w:rsidRDefault="00E069C5" w:rsidP="00CC0F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F8A">
        <w:rPr>
          <w:rFonts w:ascii="Times New Roman" w:hAnsi="Times New Roman" w:cs="Times New Roman"/>
          <w:b/>
          <w:sz w:val="32"/>
          <w:szCs w:val="32"/>
        </w:rPr>
        <w:t>Warunki i sposób realizacji</w:t>
      </w:r>
    </w:p>
    <w:p w:rsidR="00CC0F8A" w:rsidRPr="00CC0F19" w:rsidRDefault="00CC0F8A" w:rsidP="00E069C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Edukacja wczesnoszkolna jako pierwszy etap kształcenia w systemie szkolnym obejmuje trzy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lata nauki w klasach I–III. Charakteryzują ją:</w:t>
      </w:r>
    </w:p>
    <w:p w:rsidR="00E069C5" w:rsidRPr="001B621A" w:rsidRDefault="00E069C5" w:rsidP="00EB7110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spokój i systematyczność procesu nauki;</w:t>
      </w:r>
    </w:p>
    <w:p w:rsidR="00E069C5" w:rsidRPr="001B621A" w:rsidRDefault="00E069C5" w:rsidP="00EB7110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wielokierunkowość;</w:t>
      </w:r>
    </w:p>
    <w:p w:rsidR="00E069C5" w:rsidRPr="001B621A" w:rsidRDefault="00E069C5" w:rsidP="00EB7110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dostosowanie tempa pracy do możliwości psychoruchowych każdego ucznia;</w:t>
      </w:r>
    </w:p>
    <w:p w:rsidR="00E069C5" w:rsidRPr="001B621A" w:rsidRDefault="00E069C5" w:rsidP="00EB7110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dostosowanie poznawanych zagadnień do możliwości percepcyjnych ucznia.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Edukacja na tym etapie wymaga niezwykłej staranności w doborze treści, środków, strategii,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metod kształcenia, aby ukazać uczniom scalony obraz świata i ułatwić jego rozumienie.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Kształcenie na I etapie edukacyjnym kontynuuje rozpoczęty w przedszkolu proces adaptacji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 współpracy w grupie oraz proces indywidualnej i grupowej aktywności poznawczej.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Pozwala to uczniom na stopniowe rozpoznawanie różnych wzorów uczenia się, umożliwia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pełne i bardziej świadome uczestnictwo w procesie edukacyjnym, a także optymalne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wykorzystanie swojego potencjału.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Edukacja w klasach I–III realizowana jest w postaci kształcenia zintegrowanego. Kształcenie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zintegrowane obejmuje: integrację czynnościową, metodyczną, organizacyjną i treściową.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Podstawową formą organizowania pracy dziecka powinien być dzień jego wielokierunkowej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aktywności, a nie klasyczna lekcja szkolna. Kształcenie zintegrowane to koncepcja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wieloaspektowej aktywizacji dziecka wraz z potrzebą stałego diagnozowania jego rozwoju,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wspieranie funkcji stymulujących rozwój i jednocześnie odrzucenie funkcji selektywnych.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Elementem integrującym kierunki edukacji jest język w swym aspekcie semiotycznym.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Nauczyciele w klasach I–III, rozpoznając możliwości uczniów, w tym uczniów o specjalnych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potrzebach edukacyjnych, posługują się własnymi twórczymi rozwiązaniami w zakresie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realizacji treści podstawy programowej kształcenia ogólnego dla szkoły podstawowej.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Uczenie się jako proces twórczy samo w sobie wyklucza jeden wzór organizacyjny czy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metodyczny. Nauczyciele, organizując zajęcia, planują proces wychowania, w którym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realizowane zadania pomagają uczniom:</w:t>
      </w:r>
    </w:p>
    <w:p w:rsidR="00E069C5" w:rsidRPr="001B621A" w:rsidRDefault="00E069C5" w:rsidP="00EB7110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poznać wartości i adekwatne do nich zachowania;</w:t>
      </w:r>
    </w:p>
    <w:p w:rsidR="00E069C5" w:rsidRPr="001B621A" w:rsidRDefault="00E069C5" w:rsidP="00EB7110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osiągnąć sukces budujący poczucie własnej wartości uczniów oraz rozwijający motywację i zamiłowanie do dalszej nauki.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Proces edukacji przybiera różne formy: pracy z udziałem całego zespołu, pracy w grupach,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pracy indywidualnej i jest wyprowadzany z naturalnych sytuacji edukacyjnych.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Nauczyciele organizują edukację dzieci jako dynamiczny proces nadawania osobistego sensu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rozumienia ciągle zmieniającej się rzeczywistości, a nie jako przekaz gotowych informacji.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Proces edukacji umożliwia eksplorację świata, zdobywanie nowych doświadczeń i interakcję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otoczeniem. Na tej podstawie uczeń buduje swoją wiedzę.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Nauczyciele w klasach I–III uwzględniają:</w:t>
      </w:r>
    </w:p>
    <w:p w:rsidR="00E069C5" w:rsidRPr="001B621A" w:rsidRDefault="00E069C5" w:rsidP="00EB711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trzy naturalne strategie uczenia się dzieci: percepcyjno-odtwórczą (uczeń uczy się według przedstawionego wzoru – naśladuje), percepcyjno-wyjaśniającą (uczeń uczy się częściowo według wzoru, szuka wyjaśnień i podpowiedzi) i percepcyjno - innowacyjną (uczeń przekształca informacje i tworzy innowacje, w tym własne</w:t>
      </w:r>
    </w:p>
    <w:p w:rsidR="00E069C5" w:rsidRPr="001B621A" w:rsidRDefault="00E069C5" w:rsidP="00EB7110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lastRenderedPageBreak/>
        <w:t>strategie myślenia);</w:t>
      </w:r>
    </w:p>
    <w:p w:rsidR="00E069C5" w:rsidRPr="001B621A" w:rsidRDefault="00E069C5" w:rsidP="00EB7110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stosowanie różnorodnych metod kształcenia, w tym metod organizacyjnych (łącznie z klasami autorskimi). Nauczyciel prowadzący klasę zna funkcje stosowanych metod i dostosowuje je do stylu uczenia się swoich uczniów. Warsztat pracy nauczyciela opiera się na współczesnych podstawach naukowych.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Istotą edukacji polonistycznej jest proces poznawania języka mówionego i pisanego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kontakcie ze światem zewnętrznym, w tym z otoczeniem społeczno-przyrodniczym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kulturą regionalną i narodową. Nadrzędną wartością edukacji polonistycznej staje się zatem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komunikatywne posługiwanie się przez dzieci językiem ojczystym w mowie i w piśmie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połączone z umiejętnością czytania w stopniu umożliwiającym płynne uczenie się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dziecko tego języka na I i kolejnych etapach edukacyjnych. Budowanie umiejętności czytania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powinno się odbywać przez codzienne czytanie przez nauczyciela fragmentów lektur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wspólne rozmowy o nich tak, aby każdy uczeń miał szansę na polisensoryczną eksplorację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treści utworów. Taka forma pozwala uniknąć zniechęcenia do czytania, a wprost przeciwnie –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zachęca, intryguje i poszerza zakres percepcji tekstu.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Istota edukacji matematycznej prowadzi do stopniowego odkrywania i poznania pojęć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podstawowych, takich jak liczba czy działanie arytmetyczne. Proces ten oparty jest na intuicji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matematycznej dziecka oraz własnych strategiach myślenia dziecka. Nauczyciel zobowiązany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jest zatem tak planować zajęcia, aby wiedza matematyczna stopniowo układała się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logicznie powiązany system prowadzący od myślenia konkretno-obrazowego w kierunku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myślenia pojęciowego. Pomaga w tym spiralny i liniowy układ treści.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Istotą edukacji społecznej i jej rezultatem jest odkrycie istnienia określonych procesów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zachodzących w otoczeniu uczniów. Ich rozumienie jest zawsze pochodną obserwacji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doświadczenia jako wyniku celowego spostrzegania. Nauczyciel dba zatem o organizację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przestrzeni, w której uczniowie mogą eksplorować, obserwować i doświadczać. Ta przestrzeń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 zamyka się wyłącznie w obrębie klasy czy budynku szkoły.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Edukacja muzyczna, która z uwagi na swą specyfikę, doskonali percepcję słuchową, sferę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emocjonalną, wrażliwość estetyczną i ekspresję twórczą, w kształceniu zintegrowanym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codziennym elementem zajęć. Muzykowanie wspiera motywację do działań grupowych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wpływa na nastrój uczniów, co ma wielkie znaczenie w procesie organizacji grupy.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Nieodzownym elementem codziennych doświadczeń uczniów w klasach I–III są wszelkie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 wykorzystujące mnogość technik plastycznych. Istotą edukacji plastycznej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umożliwienie dzieciom postrzegania wartości wizualnych, które zawarte są w otoczeniu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naturze. Uczeń przez ich przeżywanie rozwija swoją sferę duchową. Dzieci, mając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naturalną potrzebę wyrażania swych doznań wewnętrznych, wykorzystują do tego techniki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plastyczne, muzykowanie czy działania konstrukcyjne. Znaczenie tych działań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równorzędne z aktywnością polonistyczną czy matematyczną, a dzięki integracji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czynnościowej, organizacyjnej i metodycznej działania te wspomagają rozwój mowy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myślenia.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Istotą edukacji technicznej jest praca dziecka, a podejmowane przez dziecko zadania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techniczne prowadzą do konstrukcji form użytkowych. Te zaś nauczyciel włącza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kolejnych działań jako materiał dydaktyczny, ukazując dzieciom ich funkcjonalność.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Nadrzędna wartość zadań technicznych to określone umiejętności oraz sprawności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techniczne, w tym manualne.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Proces edukacji w klasach I–III opiera się na podstawowych potrzebach dzieci. Jedną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najważniejszych jest potrzeba ruchu. Dla zabezpieczenia zdrowego rozwoju, zajęcia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ruchowe odbywają się każdego dnia jako element kształcenia zintegrowanego. Wskazane jest,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aby co najmniej jedna godzina zajęć wychowania fizycznego w tygodniu odbywała się w Sali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gimnastycznej z dostępem do wszelkich środków i sprzętów sportowych. Nauczyciel,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planując pracę oddziału, uwzględnia wszelkie zabawy i gry ruchowe, zapobiegające wadom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postawy oraz ćwiczenia kształtujące nawyki utrzymania prawidłowej postawy. Istnieje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potrzeba organizowania odrębnych zajęć gimnastyki kompensacyjno-korekcyjnej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prowadzonych przez specjalistów posiadających odpowiednie kwalifikacje. W klasach I–III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wiele zajęć, w tym ruchowych, nauczyciel organizuje na świeżym powietrzu.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Rozwijanie kompetencji w zakresie języka obcego nowożytnego należy z założenia traktować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jako proces wieloletni, naznaczony nierównomiernym rozwojem w zakresie poszczególnych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umiejętności, zależny od warunków, w których kształcenie to się odbywa. Wprowadzenie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tego procesu stanowi I etap edukacyjny i na tym etapie język obcy nowożytny powinien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przede wszystkim przyczyniać się do wszechstronnego rozwoju dziecka, a nie stanowić celu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samego w sobie. Istotne jest, aby w tym okresie pomóc uczniom rozbudzić w sobie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pozytywne nastawienie do nauki języka obcego nowożytnego oraz budować postawę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otwartości i szacunku wobec różnorodności języków, kultur i narodowości, przy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jednoczesnym wspieraniu ucznia w budowaniu poczucia własnej wartości i wiary we własne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możliwości. Wprowadzenie w życie wszystkich tych założeń to zadanie niełatwe,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wymagające odpowiednich warunków sprzyjających jego realizacji.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kształceniu językowym na I etapie edukacyjnym niezbędne jest:</w:t>
      </w:r>
    </w:p>
    <w:p w:rsidR="00E069C5" w:rsidRPr="001B621A" w:rsidRDefault="00E069C5" w:rsidP="00EB711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zapewnienie przez szkołę zajęć z takiego języka obcego nowożytnego, którego nauka może być kontynuowana na II i III etapie edukacyjnym (odpowiednio w klasach IV–VIII szkoły podstawowej i w szkole ponadpodstawowej);</w:t>
      </w:r>
    </w:p>
    <w:p w:rsidR="00E069C5" w:rsidRPr="001B621A" w:rsidRDefault="00E069C5" w:rsidP="00EB711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realizowanie treści zawartych w podstawie programowej kształcenia ogólnego z zakresu języka obcego nowożytnego w sposób spójny z treściami podstawy programowej kształcenia ogólnego dla edukacji wczesnoszkolnej z zakresu edukacji polonistycznej, matematycznej, społecznej, plastycznej, technicznej,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informatycznej i muzycznej. Niezbędne jest zatem, aby nauczyciel języka obcego nowożytnego zapoznał się z całą podstawą programową kształcenia ogólnego dla szkoły podstawowej z zakresu edukacji wczesnoszkolnej i na bieżąco śledził jej realizację, tak aby edukacja z zakresu języka obcego nowożytnego wspierała i była wspierana przez treści nauczania określone dla pozostałych edukacji, przede wszystkim w zakresie kluczowych pojęć i umiejętności, takich jak np. liczenie, pisanie;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stosowanie przez nauczyciela technik uwzględniających możliwości i potrzeby rozwojowe dzieci, w tym przede wszystkim technik odwołujących się do multisensoryczności (wykorzystujących ruch, dźwięk, obraz), sprzyjających kształtowaniu twórczego podejścia i pozytywnego nastawienia do nauki języka obcego nowożytnego. Ważne jest, aby sala, w której odbywa się nauka języka obcego nowożytnego, dawała możliwość przeprowadzania ćwiczeń językowych wymagających ruchu, w tym ćwiczeń w parach i małych grupach oraz była odpowiednio wyposażona, tj. z dostępem do słowników, pomocy wizualnych, odtwarzacza płyt CD/plików dźwiękowych, komputera ze stałym łączem internetowym;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stwarzanie sytuacji edukacyjnych sprzyjających poznawaniu i rozwijaniu przez dzieci własnych zainteresowań oraz pasji;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lastRenderedPageBreak/>
        <w:t>używanie języka obcego nowożytnego nie tylko jako treści swoistej dla przedmiotu nauczania, ale również jako języka komunikacji podczas zajęć w różnych rodzajach interakcji, tj. zarówno nauczyciel – uczeń, jak i uczeń – uczeń. Język obcy nowożytny powinien – docelowo – stać się głównym narzędziem komunikacji podczas zajęć, nie wyklucza to jednak używania podczas zajęć języka rodzimego, np. do przekazania przez ucznia w języku polskim ogólnego sensu słuchanego tekstu w języku obcym nowożytnym;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wykorzystywanie autentycznych materiałów źródłowych (zdjęć, filmów, nagrań audio, książeczek), w tym z użyciem narzędzi związanych z technologiami informacyjno-komunikacyjnymi, takich jak np. tablice interaktywne z oprogramowaniem, urządzenia mobilne;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przeprowadzanie „na bieżąco” nieformalnej diagnozy oraz systematyczne przekazywanie uczniowi i jego rodzicom (opiekunom prawnym) – w sposób zrozumiały i czytelny dla odbiorcy – informacji zwrotnej na temat poziomu osiągnięć/postępów ucznia w zakresie poszczególnych umiejętności językowych;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zachęcanie uczniów do podejmowania próby samooceny własnej pracy i stosowania różnych technik służących uczeniu się. Nauczyciele powinni zachęcać uczniów do pracy własnej z wykorzystaniem filmów (np. bajek), zasobów internetu i książek (np. książeczek z obrazkami), w odpowiednim zakresie i stosownie do wieku uczniów. W szkole powinny być organizowane wydarzenia związane z językami obcymi nowożytnymi, np. konkursy, wystawy, dni języków obcych, zajęcia teatralne, udział w programach europejskich typu eTwinning;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wykorzystanie zajęć z języka obcego nowożytnego do kształtowania postawy ciekawości, szacunku i otwartości wobec innych kultur, niekoniecznie tylko tych związanych z językiem docelowym, np. przez zachęcanie uczniów do refleksji nad zjawiskami typowymi dla kultur innych niż własna oraz stosowanie</w:t>
      </w:r>
    </w:p>
    <w:p w:rsidR="00E069C5" w:rsidRPr="001B621A" w:rsidRDefault="00E069C5" w:rsidP="00EB7110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21A">
        <w:rPr>
          <w:rFonts w:ascii="Times New Roman" w:hAnsi="Times New Roman" w:cs="Times New Roman"/>
        </w:rPr>
        <w:t>odniesień do kultury, tradycji i historii kraju pochodzenia uczniów.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Przygotowując uczniów do myślenia abstrakcyjnego w przyszłości i rozwiązywania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problemów, w tym programowania, nauczyciel wykorzystuje treści wszystkich edukacji.</w:t>
      </w:r>
      <w:r>
        <w:rPr>
          <w:rFonts w:ascii="Times New Roman" w:hAnsi="Times New Roman" w:cs="Times New Roman"/>
        </w:rPr>
        <w:t xml:space="preserve"> 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początkowej fazie przeprowadza zajęcia informatyczne, wykorzystując przestrzeń klasy,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organizując aktywność dzieci z wykorzystaniem liczmanów, gier planszowych, materiału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naturalnego czy form plastycznych, technicznych wykonanych przez dzieci, nie zawsze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używając komputerów czy innych urządzeń. Edukacja informatyczna wprowadza uczniów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świat języka informatyki. Uczeń np. układając sekwencje zdarzeń w logicznym porządku,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poznaje intuicyjnie pojęcie „liniowa kolejność” formułując polecenia do wybranego obiektu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sterując nim poznaje znaczenie słowa „instrukcja”. Nauczyciel w pracy z uczniem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wykorzystuje do tego zabawy i gry interakcyjne oraz planszowe, w tym strategiczne, które są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wprowadzane systematycznie i umiejętnie. Praca z urządzeniem, np. komputerem powinna,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miarę możliwości, dotyczyć wszelkich zadań i ćwiczeń wynikających z programu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 w zakresie treści wszystkich edukacji. Jeżeli szkoła nie dysponuje możliwością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organizacji kącika informatycznego w klasie, np. z dostępem do dwóch, trzech komputerów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dla dzieci, nauczyciel powinien mieć dostęp do tzw. mobilnego sprzętu, który w razie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potrzeby może sprawnie zainstalować w swojej klasie. Istotne jest, aby praca z komputerem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lub innym urządzeniem cyfrowym łączona była z różnymi formami aktywności poznawczej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w młodszym wieku szkolnym. Ważne jest, aby w miarę możliwości uczniowie mieli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dostęp do pracowni komputerowej.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Klasa w edukacji wczesnoszkolnej powinna być przestrzenią umożliwiającą swobodny ruch,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pracę w różnorodnych grupach, przy stołach, a także na odpowiednio przygotowanej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podłodze (np. na dywanie, wykładzinie). Wyposażenie klasy w meble potrzebne do zajęć 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powinno ograniczać uczniom możliwości przyjmowania różnorodnych pozycji ciała w trakcie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nauki i zabawy. Krzesła, stoły i meble, a także tablice, wykładziny czy dywan umożliwiają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zarówno pracę w pełnym zespole, jak i pracę w małych grupach, z możliwością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indywidualizacji i dostosowaniem zajęć także dla uczniów o specjalnych potrzebach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edukacyjnych. Zagospodarowanie przestrzeni umożliwia skupienie uwagi uczniów,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rozwijanie różnorodnej aktywności, a także możliwość odpoczynku. Sala do zajęć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wyposażona jest w urządzenia techniczne, których parametry informują o możliwości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stosowania urządzenia w edukacji, np. tablica interaktywna o charakterze pasywnym,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oświetlenie zbliżone do naturalnego światła.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Sala do zajęć wyposażona jest także w narzędzia i środki dydaktyczne ze szczególnym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uwzględnieniem dużej liczby atrakcyjnych elementów manipulacyjnych, przeznaczonych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samodzielnego eksperymentowania i uczenia się zgodnego z preferowanymi zdolnościami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poznawczymi.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 ma dostęp do różnorodnych narzędzi i pomocy umożliwiających przeprowadzanie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zajęć ruchowych, muzycznych, plastycznych lub technicznych, np. piłki, skakanki, woreczki,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słupki, grzechotki.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sali do zajęć powinna znajdować się tablica gładka z liniaturą lub siecią kwadratową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umożliwiającą dziecku naukę pisania. Nauczyciel dobiera środki i narzędzia dydaktyczne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sali zgodnie z potrzebami oddziału i specyfiką stosowanych metod. Wyposażenie Sali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umożliwia prezentację wytworów pracy uczniów, np. sztalugi, parawany, instalacje, tablice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korkowe itp.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 odpowiada za taką aranżację sali do zajęć, która umożliwia i zachęca dzieci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samodzielnego poszukiwania i odkrywania wiedzy. Wystrój sali ma charakter zmienny,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odzwierciedla aktualną tematykę pracy dzieci. Zawiera elementy przygotowane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nauczyciela i uczniów. Nauczyciel usuwa zbędne elementy dekoracji sali i pomoce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dydaktyczne, które aktualnie nie służą realizacji programu. Dba, aby wystrój sali stwarzał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optymalne warunki uczenia się. Aranżacja wnętrza, począwszy od ustawienia mebli, a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elementów dekoracji, umożliwia pracę metodą wybraną przez nauczyciela.</w:t>
      </w:r>
      <w:r>
        <w:rPr>
          <w:rFonts w:ascii="Times New Roman" w:hAnsi="Times New Roman" w:cs="Times New Roman"/>
        </w:rPr>
        <w:t xml:space="preserve"> 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 zobowiązany jest zapoznać się z podstawą programową kształcenia ogólnego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edukacji wczesnoszkolnej, która określa osiągnięcia możliwe do uzyskania przez całą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populację dzieci w danym wieku. Dla zapewnienia ciągłości procesu edukacji nauczyciele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klas I–III powinni znać podstawę programową wychowania przedszkolnego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zorganizować dostosowany do potrzeb dzieci okres ich adaptacji w szkole.</w:t>
      </w:r>
    </w:p>
    <w:p w:rsidR="00E069C5" w:rsidRPr="002B4073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Codzienna praca nauczyciela wyznaczona jest przez realizowany i interpretowany program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nauczania, oparty na podstawie programowej kształcenia ogólnego dla edukacji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wczesnoszkolnej. Interpretacja programu to dostosowanie sposobów osiągania celów, czyli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efektów do indywidualnych potrzeb i możliwości uczniów. Nauczyciel, diagnozując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umiejętności uczniów, ich możliwości i potrzeby, może tak organizować ich pracę, aby</w:t>
      </w:r>
    </w:p>
    <w:p w:rsidR="00E069C5" w:rsidRDefault="00E069C5" w:rsidP="00E069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uczniowie osiągnęli cele wykraczające poza treści określone w podstawie programowej.</w:t>
      </w:r>
    </w:p>
    <w:p w:rsidR="00D1015C" w:rsidRPr="00D1015C" w:rsidRDefault="00D1015C" w:rsidP="00D1015C"/>
    <w:sectPr w:rsidR="00D1015C" w:rsidRPr="00D1015C" w:rsidSect="00D1015C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EC" w:rsidRDefault="00CB64EC" w:rsidP="00E23AEA">
      <w:pPr>
        <w:spacing w:after="0" w:line="240" w:lineRule="auto"/>
      </w:pPr>
      <w:r>
        <w:separator/>
      </w:r>
    </w:p>
  </w:endnote>
  <w:endnote w:type="continuationSeparator" w:id="0">
    <w:p w:rsidR="00CB64EC" w:rsidRDefault="00CB64EC" w:rsidP="00E2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EC" w:rsidRDefault="00CB64EC" w:rsidP="00E23AEA">
      <w:pPr>
        <w:spacing w:after="0" w:line="240" w:lineRule="auto"/>
      </w:pPr>
      <w:r>
        <w:separator/>
      </w:r>
    </w:p>
  </w:footnote>
  <w:footnote w:type="continuationSeparator" w:id="0">
    <w:p w:rsidR="00CB64EC" w:rsidRDefault="00CB64EC" w:rsidP="00E2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9D8"/>
    <w:multiLevelType w:val="hybridMultilevel"/>
    <w:tmpl w:val="4E742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6C35"/>
    <w:multiLevelType w:val="hybridMultilevel"/>
    <w:tmpl w:val="E03E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64536"/>
    <w:multiLevelType w:val="hybridMultilevel"/>
    <w:tmpl w:val="55A89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3916"/>
    <w:multiLevelType w:val="hybridMultilevel"/>
    <w:tmpl w:val="F5FE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C6960"/>
    <w:multiLevelType w:val="hybridMultilevel"/>
    <w:tmpl w:val="9C447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009DF"/>
    <w:multiLevelType w:val="hybridMultilevel"/>
    <w:tmpl w:val="569C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A7F0E"/>
    <w:multiLevelType w:val="hybridMultilevel"/>
    <w:tmpl w:val="11540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5656D"/>
    <w:multiLevelType w:val="hybridMultilevel"/>
    <w:tmpl w:val="FB6C2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0F60"/>
    <w:multiLevelType w:val="hybridMultilevel"/>
    <w:tmpl w:val="569AD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577B8"/>
    <w:multiLevelType w:val="hybridMultilevel"/>
    <w:tmpl w:val="F90C0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97CCF"/>
    <w:multiLevelType w:val="hybridMultilevel"/>
    <w:tmpl w:val="8A788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17C96"/>
    <w:multiLevelType w:val="hybridMultilevel"/>
    <w:tmpl w:val="2F064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769FB"/>
    <w:multiLevelType w:val="hybridMultilevel"/>
    <w:tmpl w:val="0C5C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73E34"/>
    <w:multiLevelType w:val="hybridMultilevel"/>
    <w:tmpl w:val="047C5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1100F"/>
    <w:multiLevelType w:val="hybridMultilevel"/>
    <w:tmpl w:val="0340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7815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95792"/>
    <w:multiLevelType w:val="hybridMultilevel"/>
    <w:tmpl w:val="C07CE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B7ADB"/>
    <w:multiLevelType w:val="hybridMultilevel"/>
    <w:tmpl w:val="C218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23509"/>
    <w:multiLevelType w:val="hybridMultilevel"/>
    <w:tmpl w:val="2FFAD584"/>
    <w:lvl w:ilvl="0" w:tplc="AD3074A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C4641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116C4"/>
    <w:multiLevelType w:val="hybridMultilevel"/>
    <w:tmpl w:val="1D1C4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80EDC"/>
    <w:multiLevelType w:val="hybridMultilevel"/>
    <w:tmpl w:val="401AB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07249"/>
    <w:multiLevelType w:val="hybridMultilevel"/>
    <w:tmpl w:val="2486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C3563"/>
    <w:multiLevelType w:val="hybridMultilevel"/>
    <w:tmpl w:val="AAB08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B14E4"/>
    <w:multiLevelType w:val="hybridMultilevel"/>
    <w:tmpl w:val="FE3A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A7344"/>
    <w:multiLevelType w:val="hybridMultilevel"/>
    <w:tmpl w:val="506E1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A1FB2"/>
    <w:multiLevelType w:val="hybridMultilevel"/>
    <w:tmpl w:val="BD286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3440E"/>
    <w:multiLevelType w:val="hybridMultilevel"/>
    <w:tmpl w:val="586EF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447237"/>
    <w:multiLevelType w:val="hybridMultilevel"/>
    <w:tmpl w:val="56545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007E0"/>
    <w:multiLevelType w:val="hybridMultilevel"/>
    <w:tmpl w:val="03A2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FD1066"/>
    <w:multiLevelType w:val="hybridMultilevel"/>
    <w:tmpl w:val="FD8C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B72BF"/>
    <w:multiLevelType w:val="hybridMultilevel"/>
    <w:tmpl w:val="23FCB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318AA"/>
    <w:multiLevelType w:val="hybridMultilevel"/>
    <w:tmpl w:val="A65E1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0EA1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0C680A"/>
    <w:multiLevelType w:val="hybridMultilevel"/>
    <w:tmpl w:val="5ADE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F1789"/>
    <w:multiLevelType w:val="hybridMultilevel"/>
    <w:tmpl w:val="D098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F87FA2"/>
    <w:multiLevelType w:val="hybridMultilevel"/>
    <w:tmpl w:val="CBDA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476641"/>
    <w:multiLevelType w:val="hybridMultilevel"/>
    <w:tmpl w:val="EE166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E0896"/>
    <w:multiLevelType w:val="hybridMultilevel"/>
    <w:tmpl w:val="E58A7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BE25BA"/>
    <w:multiLevelType w:val="hybridMultilevel"/>
    <w:tmpl w:val="6BB4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50132E"/>
    <w:multiLevelType w:val="hybridMultilevel"/>
    <w:tmpl w:val="1FB23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5653D8"/>
    <w:multiLevelType w:val="hybridMultilevel"/>
    <w:tmpl w:val="ABC8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D257F"/>
    <w:multiLevelType w:val="hybridMultilevel"/>
    <w:tmpl w:val="608EA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F64F2B"/>
    <w:multiLevelType w:val="hybridMultilevel"/>
    <w:tmpl w:val="B798C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D318B"/>
    <w:multiLevelType w:val="hybridMultilevel"/>
    <w:tmpl w:val="F5DA7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303F94"/>
    <w:multiLevelType w:val="hybridMultilevel"/>
    <w:tmpl w:val="2FF8A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7E55F8"/>
    <w:multiLevelType w:val="hybridMultilevel"/>
    <w:tmpl w:val="45484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FD5270"/>
    <w:multiLevelType w:val="hybridMultilevel"/>
    <w:tmpl w:val="E0664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887D0C"/>
    <w:multiLevelType w:val="hybridMultilevel"/>
    <w:tmpl w:val="8C38E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B13E4B"/>
    <w:multiLevelType w:val="hybridMultilevel"/>
    <w:tmpl w:val="2CD8D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495346"/>
    <w:multiLevelType w:val="hybridMultilevel"/>
    <w:tmpl w:val="49F24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F63399"/>
    <w:multiLevelType w:val="hybridMultilevel"/>
    <w:tmpl w:val="5C583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942F3B"/>
    <w:multiLevelType w:val="hybridMultilevel"/>
    <w:tmpl w:val="3BA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0279AC"/>
    <w:multiLevelType w:val="hybridMultilevel"/>
    <w:tmpl w:val="306CF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326AC2"/>
    <w:multiLevelType w:val="hybridMultilevel"/>
    <w:tmpl w:val="BE1E1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BF51D1"/>
    <w:multiLevelType w:val="hybridMultilevel"/>
    <w:tmpl w:val="6E3C6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897186"/>
    <w:multiLevelType w:val="hybridMultilevel"/>
    <w:tmpl w:val="134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E00051"/>
    <w:multiLevelType w:val="hybridMultilevel"/>
    <w:tmpl w:val="4BD24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56739"/>
    <w:multiLevelType w:val="hybridMultilevel"/>
    <w:tmpl w:val="7FF6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3774AE"/>
    <w:multiLevelType w:val="hybridMultilevel"/>
    <w:tmpl w:val="0F0C9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1C5952"/>
    <w:multiLevelType w:val="hybridMultilevel"/>
    <w:tmpl w:val="EFC0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6F087E"/>
    <w:multiLevelType w:val="hybridMultilevel"/>
    <w:tmpl w:val="A01C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0816BE"/>
    <w:multiLevelType w:val="hybridMultilevel"/>
    <w:tmpl w:val="6EF29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E50FDE"/>
    <w:multiLevelType w:val="hybridMultilevel"/>
    <w:tmpl w:val="2DB8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FD6178"/>
    <w:multiLevelType w:val="hybridMultilevel"/>
    <w:tmpl w:val="31E46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3020F"/>
    <w:multiLevelType w:val="hybridMultilevel"/>
    <w:tmpl w:val="B5921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311F42"/>
    <w:multiLevelType w:val="hybridMultilevel"/>
    <w:tmpl w:val="F800A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61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AD5C78"/>
    <w:multiLevelType w:val="hybridMultilevel"/>
    <w:tmpl w:val="1EBEA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"/>
  </w:num>
  <w:num w:numId="4">
    <w:abstractNumId w:val="40"/>
  </w:num>
  <w:num w:numId="5">
    <w:abstractNumId w:val="15"/>
  </w:num>
  <w:num w:numId="6">
    <w:abstractNumId w:val="34"/>
  </w:num>
  <w:num w:numId="7">
    <w:abstractNumId w:val="32"/>
  </w:num>
  <w:num w:numId="8">
    <w:abstractNumId w:val="12"/>
  </w:num>
  <w:num w:numId="9">
    <w:abstractNumId w:val="49"/>
  </w:num>
  <w:num w:numId="10">
    <w:abstractNumId w:val="58"/>
  </w:num>
  <w:num w:numId="11">
    <w:abstractNumId w:val="22"/>
  </w:num>
  <w:num w:numId="12">
    <w:abstractNumId w:val="53"/>
  </w:num>
  <w:num w:numId="13">
    <w:abstractNumId w:val="23"/>
  </w:num>
  <w:num w:numId="14">
    <w:abstractNumId w:val="45"/>
  </w:num>
  <w:num w:numId="15">
    <w:abstractNumId w:val="20"/>
  </w:num>
  <w:num w:numId="16">
    <w:abstractNumId w:val="60"/>
  </w:num>
  <w:num w:numId="17">
    <w:abstractNumId w:val="26"/>
  </w:num>
  <w:num w:numId="18">
    <w:abstractNumId w:val="64"/>
  </w:num>
  <w:num w:numId="19">
    <w:abstractNumId w:val="3"/>
  </w:num>
  <w:num w:numId="20">
    <w:abstractNumId w:val="57"/>
  </w:num>
  <w:num w:numId="21">
    <w:abstractNumId w:val="16"/>
  </w:num>
  <w:num w:numId="22">
    <w:abstractNumId w:val="54"/>
  </w:num>
  <w:num w:numId="23">
    <w:abstractNumId w:val="21"/>
  </w:num>
  <w:num w:numId="24">
    <w:abstractNumId w:val="27"/>
  </w:num>
  <w:num w:numId="25">
    <w:abstractNumId w:val="50"/>
  </w:num>
  <w:num w:numId="26">
    <w:abstractNumId w:val="19"/>
  </w:num>
  <w:num w:numId="27">
    <w:abstractNumId w:val="14"/>
  </w:num>
  <w:num w:numId="28">
    <w:abstractNumId w:val="5"/>
  </w:num>
  <w:num w:numId="29">
    <w:abstractNumId w:val="7"/>
  </w:num>
  <w:num w:numId="30">
    <w:abstractNumId w:val="11"/>
  </w:num>
  <w:num w:numId="31">
    <w:abstractNumId w:val="36"/>
  </w:num>
  <w:num w:numId="32">
    <w:abstractNumId w:val="52"/>
  </w:num>
  <w:num w:numId="33">
    <w:abstractNumId w:val="33"/>
  </w:num>
  <w:num w:numId="34">
    <w:abstractNumId w:val="37"/>
  </w:num>
  <w:num w:numId="35">
    <w:abstractNumId w:val="42"/>
  </w:num>
  <w:num w:numId="36">
    <w:abstractNumId w:val="29"/>
  </w:num>
  <w:num w:numId="37">
    <w:abstractNumId w:val="9"/>
  </w:num>
  <w:num w:numId="38">
    <w:abstractNumId w:val="39"/>
  </w:num>
  <w:num w:numId="39">
    <w:abstractNumId w:val="0"/>
  </w:num>
  <w:num w:numId="40">
    <w:abstractNumId w:val="61"/>
  </w:num>
  <w:num w:numId="41">
    <w:abstractNumId w:val="25"/>
  </w:num>
  <w:num w:numId="42">
    <w:abstractNumId w:val="56"/>
  </w:num>
  <w:num w:numId="43">
    <w:abstractNumId w:val="28"/>
  </w:num>
  <w:num w:numId="44">
    <w:abstractNumId w:val="55"/>
  </w:num>
  <w:num w:numId="45">
    <w:abstractNumId w:val="1"/>
  </w:num>
  <w:num w:numId="46">
    <w:abstractNumId w:val="13"/>
  </w:num>
  <w:num w:numId="47">
    <w:abstractNumId w:val="8"/>
  </w:num>
  <w:num w:numId="48">
    <w:abstractNumId w:val="44"/>
  </w:num>
  <w:num w:numId="49">
    <w:abstractNumId w:val="41"/>
  </w:num>
  <w:num w:numId="50">
    <w:abstractNumId w:val="31"/>
  </w:num>
  <w:num w:numId="51">
    <w:abstractNumId w:val="47"/>
  </w:num>
  <w:num w:numId="52">
    <w:abstractNumId w:val="10"/>
  </w:num>
  <w:num w:numId="53">
    <w:abstractNumId w:val="51"/>
  </w:num>
  <w:num w:numId="54">
    <w:abstractNumId w:val="4"/>
  </w:num>
  <w:num w:numId="55">
    <w:abstractNumId w:val="24"/>
  </w:num>
  <w:num w:numId="56">
    <w:abstractNumId w:val="38"/>
  </w:num>
  <w:num w:numId="57">
    <w:abstractNumId w:val="35"/>
  </w:num>
  <w:num w:numId="58">
    <w:abstractNumId w:val="6"/>
  </w:num>
  <w:num w:numId="59">
    <w:abstractNumId w:val="46"/>
  </w:num>
  <w:num w:numId="60">
    <w:abstractNumId w:val="59"/>
  </w:num>
  <w:num w:numId="61">
    <w:abstractNumId w:val="62"/>
  </w:num>
  <w:num w:numId="62">
    <w:abstractNumId w:val="48"/>
  </w:num>
  <w:num w:numId="63">
    <w:abstractNumId w:val="63"/>
  </w:num>
  <w:num w:numId="64">
    <w:abstractNumId w:val="18"/>
  </w:num>
  <w:num w:numId="65">
    <w:abstractNumId w:val="3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EA"/>
    <w:rsid w:val="002C3727"/>
    <w:rsid w:val="00335130"/>
    <w:rsid w:val="00491822"/>
    <w:rsid w:val="00697ED6"/>
    <w:rsid w:val="00A40502"/>
    <w:rsid w:val="00CB64EC"/>
    <w:rsid w:val="00CC0F8A"/>
    <w:rsid w:val="00D1015C"/>
    <w:rsid w:val="00E069C5"/>
    <w:rsid w:val="00E23AEA"/>
    <w:rsid w:val="00E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A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3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9C5"/>
  </w:style>
  <w:style w:type="paragraph" w:styleId="Stopka">
    <w:name w:val="footer"/>
    <w:basedOn w:val="Normalny"/>
    <w:link w:val="StopkaZnak"/>
    <w:uiPriority w:val="99"/>
    <w:unhideWhenUsed/>
    <w:rsid w:val="00E0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9C5"/>
  </w:style>
  <w:style w:type="paragraph" w:styleId="Tekstdymka">
    <w:name w:val="Balloon Text"/>
    <w:basedOn w:val="Normalny"/>
    <w:link w:val="TekstdymkaZnak"/>
    <w:uiPriority w:val="99"/>
    <w:semiHidden/>
    <w:unhideWhenUsed/>
    <w:rsid w:val="00E0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06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6C52-521C-4E94-91A8-0975B9F0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2017-05-20T13:57:00Z</dcterms:created>
  <dcterms:modified xsi:type="dcterms:W3CDTF">2017-05-20T13:57:00Z</dcterms:modified>
</cp:coreProperties>
</file>